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70" w:rsidRPr="00972A70" w:rsidRDefault="00972A70" w:rsidP="00972A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мероприятий по </w:t>
      </w:r>
      <w:proofErr w:type="gramStart"/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территориальному</w:t>
      </w:r>
      <w:proofErr w:type="gramEnd"/>
    </w:p>
    <w:p w:rsidR="00972A70" w:rsidRPr="00972A70" w:rsidRDefault="00972A70" w:rsidP="00972A70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планированию городского округа Армавир</w:t>
      </w:r>
    </w:p>
    <w:bookmarkEnd w:id="0"/>
    <w:p w:rsidR="00972A70" w:rsidRPr="00972A70" w:rsidRDefault="00972A70" w:rsidP="00972A70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A70" w:rsidRPr="00972A70" w:rsidRDefault="00972A70" w:rsidP="00972A70">
      <w:pPr>
        <w:snapToGri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972A7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5.1. Планировочная организация территории</w:t>
      </w:r>
    </w:p>
    <w:p w:rsidR="00972A70" w:rsidRPr="00972A70" w:rsidRDefault="00972A70" w:rsidP="00972A70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972A70" w:rsidRPr="00972A70" w:rsidRDefault="00972A70" w:rsidP="00972A7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72A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Генеральный план городского округа – основной документ планировочной организации территории - является исходной базой для разработки проектных предложений по территориальному планированию округа и позволяет</w:t>
      </w:r>
    </w:p>
    <w:p w:rsidR="00972A70" w:rsidRPr="00972A70" w:rsidRDefault="00972A70" w:rsidP="00972A7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972A7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определить: </w:t>
      </w:r>
    </w:p>
    <w:p w:rsidR="00972A70" w:rsidRPr="00972A70" w:rsidRDefault="00972A70" w:rsidP="00972A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72A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принципиальные подходы к организации территории </w:t>
      </w:r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72A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округа и перспективы его развития;</w:t>
      </w:r>
    </w:p>
    <w:p w:rsidR="00972A70" w:rsidRPr="00972A70" w:rsidRDefault="00972A70" w:rsidP="00972A7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72A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выбор и расстановку приоритетов в опорном каркасе территории и обеспечении стабильности и устойчивости ее развития;</w:t>
      </w:r>
    </w:p>
    <w:p w:rsidR="00972A70" w:rsidRPr="00972A70" w:rsidRDefault="00972A70" w:rsidP="00972A70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972A70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выявить:</w:t>
      </w:r>
    </w:p>
    <w:p w:rsidR="00972A70" w:rsidRPr="00972A70" w:rsidRDefault="00972A70" w:rsidP="00972A7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72A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выделение главных и второстепенных планировочных осей, планировочных зон и их центров;</w:t>
      </w:r>
    </w:p>
    <w:p w:rsidR="00972A70" w:rsidRPr="00972A70" w:rsidRDefault="00972A70" w:rsidP="00972A7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72A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структурно-функциональную основу пространственно-планировочной организации территории;</w:t>
      </w:r>
    </w:p>
    <w:p w:rsidR="00972A70" w:rsidRPr="00972A70" w:rsidRDefault="00972A70" w:rsidP="00972A7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72A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место природного каркаса и исторического фактора в формировании планировочной структуры;</w:t>
      </w:r>
    </w:p>
    <w:p w:rsidR="00972A70" w:rsidRPr="00972A70" w:rsidRDefault="00972A70" w:rsidP="00972A7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72A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роль природно-экологического потенциала территории;</w:t>
      </w:r>
    </w:p>
    <w:p w:rsidR="00972A70" w:rsidRPr="00972A70" w:rsidRDefault="00972A70" w:rsidP="00972A7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72A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взаимовлияние системы расселения и планировочной структуры.</w:t>
      </w:r>
    </w:p>
    <w:p w:rsidR="00972A70" w:rsidRPr="00972A70" w:rsidRDefault="00972A70" w:rsidP="00972A7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972A70" w:rsidRPr="00972A70" w:rsidRDefault="00972A70" w:rsidP="00972A70">
      <w:pPr>
        <w:tabs>
          <w:tab w:val="num" w:pos="360"/>
          <w:tab w:val="left" w:pos="97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72A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Основными планировочными осями существующей и проектируемой территориально-планировочной структуры городского округа остается одна из стратегических транспортных артерий России - федеральная автомагистраль Р-217 «Кавказ», а также автомобильные дороги регионального значения.</w:t>
      </w:r>
    </w:p>
    <w:p w:rsidR="00972A70" w:rsidRPr="00972A70" w:rsidRDefault="00972A70" w:rsidP="00972A70">
      <w:pPr>
        <w:tabs>
          <w:tab w:val="num" w:pos="360"/>
          <w:tab w:val="left" w:pos="9781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gramStart"/>
      <w:r w:rsidRPr="00972A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Именно приближенность населенных пунктов города к автомобильным дорогам является одним из наиболее весомых причин его активного развития (город Армавир, п. Заветный, х. Старая Станица, х. Красная Поляна), либо причиной отрицательной динамики развития (хутора </w:t>
      </w:r>
      <w:proofErr w:type="spellStart"/>
      <w:r w:rsidRPr="00972A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Зуево</w:t>
      </w:r>
      <w:proofErr w:type="spellEnd"/>
      <w:r w:rsidRPr="00972A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 Красин, п. Первомайский, Маяк, Южный).</w:t>
      </w:r>
      <w:proofErr w:type="gramEnd"/>
    </w:p>
    <w:p w:rsidR="00972A70" w:rsidRPr="00972A70" w:rsidRDefault="00972A70" w:rsidP="0097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Стратегические направления комплексного развития 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городской округ Армавир, которые нашли отражение в </w:t>
      </w:r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планировочной организации территории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следующие:</w:t>
      </w:r>
    </w:p>
    <w:p w:rsidR="00972A70" w:rsidRPr="00972A70" w:rsidRDefault="00972A70" w:rsidP="0097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70" w:rsidRPr="00972A70" w:rsidRDefault="00972A70" w:rsidP="00972A70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значительным количеством планировочных ограничений природного и техногенного характера для развития города и прилегающих населенных пунктов проектом определено принципиально 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новое </w:t>
      </w:r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застройки на земельных участках возле поселка Заветный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противоположной стороне автодороги «Кавказ». Данная территория удовлетворяет всем нормативным требованиям для селитебной застройки как на расчетный срок генерального плана 20 лет, так и на далекую перспективу. Проектом земельный участок площадью 1543 га, намечен к включению в границы поселка Заветный. Данная территория предназначена проектом для решения территориальных вопросов населенных пунктов, совершенно не имеющих территориальных ресурсов, либо крайне в них ограниченных: это собственно город Армавир, станица Старая Станица, хутор  Красная Поляна и, конечно же, поселок Заветный.</w:t>
      </w:r>
    </w:p>
    <w:p w:rsidR="00972A70" w:rsidRPr="00972A70" w:rsidRDefault="00972A70" w:rsidP="00972A70">
      <w:pPr>
        <w:widowControl w:val="0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Северное направление развития городской селитебной застройки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сохраняется как актуальное согласно ранее утвержденному плану, но освоение данной территории возможно только после выполнения инженерных мероприятий по предотвращению подтопления и затопления. </w:t>
      </w:r>
    </w:p>
    <w:p w:rsidR="00972A70" w:rsidRPr="00972A70" w:rsidRDefault="00972A70" w:rsidP="00972A70">
      <w:pPr>
        <w:widowControl w:val="0"/>
        <w:numPr>
          <w:ilvl w:val="0"/>
          <w:numId w:val="3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Северная промышленная зона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сохраняет свою значимость как главный центр промышленного города и получает дальнейшее развитие, где помимо существующих комплексов на перспективу размещается ряд градообразующих предприятий и инвестиционных проектов. Имеющиеся территориальные резервы, наличие железной дороги и перспективный обход города, возможность подключения к коммуникациям создают благоприятную среду для строительства самых </w:t>
      </w:r>
      <w:proofErr w:type="gramStart"/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амбициозных</w:t>
      </w:r>
      <w:proofErr w:type="gramEnd"/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проектов.</w:t>
      </w:r>
    </w:p>
    <w:p w:rsidR="00972A70" w:rsidRPr="00972A70" w:rsidRDefault="00972A70" w:rsidP="00972A70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Армавир – исторический город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особое внимание необходимо уделить регенерации и реконструкции целостного ансамбля старого города. Максимальное сохранение исторического культурно-ландшафтного комплекса, сложившегося на территории города – одна из главных задач настоящего проекта.</w:t>
      </w:r>
    </w:p>
    <w:p w:rsidR="00972A70" w:rsidRPr="00972A70" w:rsidRDefault="00972A70" w:rsidP="00972A70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Улучшение экологической ситуации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городе, в первую очередь за счет выполнения санитарно-экологических паспортов действующих в городе и сельских населенных пунктах предприятий и соответствующих мероприятий, по результатам которых выявится возможность их сохранения в селитебной зоне. Сокращение санитарно-защитных зон от промпредприятий до границ жилой застройки.</w:t>
      </w:r>
    </w:p>
    <w:p w:rsidR="00972A70" w:rsidRPr="00972A70" w:rsidRDefault="00972A70" w:rsidP="00972A70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основных функциональных зон 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и сельских населенных пунктов с учётом сложившейся структуры и наметившихся тенденций. </w:t>
      </w:r>
    </w:p>
    <w:p w:rsidR="00972A70" w:rsidRPr="00972A70" w:rsidRDefault="00972A70" w:rsidP="00972A70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каркаса автомобильных дорог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создание северо-западного обхода города, одновременно являющегося главной производственной автодорогой Северной </w:t>
      </w:r>
      <w:proofErr w:type="spellStart"/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промзоны</w:t>
      </w:r>
      <w:proofErr w:type="spellEnd"/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строительство новых мостов, путепроводов через железную дорогу, автомобильных развязок, предусмотренных генеральным планом, призвано качественно </w:t>
      </w:r>
      <w:proofErr w:type="gramStart"/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</w:t>
      </w:r>
      <w:proofErr w:type="gramEnd"/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транспортную инфраструктуру в Армавире. Развитие структуры дорожного сервиса. Строительство нового автовокзала и аэровокзала малой авиации.</w:t>
      </w:r>
    </w:p>
    <w:p w:rsidR="00972A70" w:rsidRPr="00972A70" w:rsidRDefault="00972A70" w:rsidP="00972A70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благоприятной среды обитания человека запланировано </w:t>
      </w:r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единого природного каркаса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включающего городские парки, скверы, бульвары, прибрежные зоны, лесные массивы, 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охраняемые ландшафты. В новых жилых образованиях сохраняется тенденция оформления главных магистралей города в виде благоустроенных бульваров.</w:t>
      </w:r>
    </w:p>
    <w:p w:rsidR="00972A70" w:rsidRPr="00972A70" w:rsidRDefault="00972A70" w:rsidP="00972A70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наиболее значимых городских магистралей объектами обслуживания населения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жилой </w:t>
      </w:r>
      <w:proofErr w:type="gramStart"/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</w:t>
      </w:r>
      <w:proofErr w:type="gramEnd"/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базе существующих домов, так и в новых объектах капитального строительства.</w:t>
      </w:r>
    </w:p>
    <w:p w:rsidR="00972A70" w:rsidRPr="00972A70" w:rsidRDefault="00972A70" w:rsidP="00972A70">
      <w:pPr>
        <w:widowControl w:val="0"/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системы обслуживающих центров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культурно-досуговых, торговых, спортивных, медицинских (с учётом обслуживания сопряжённого населения), включая центры обслуживания в поселках, станицах и хуторах,</w:t>
      </w:r>
      <w:r w:rsidRPr="00972A7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развитие учреждений обслуживания населения: здравоохранения, образования, культуры, расширении сети объектов обслуживания в мелких населенных пунктах.</w:t>
      </w:r>
    </w:p>
    <w:p w:rsidR="00972A70" w:rsidRPr="00972A70" w:rsidRDefault="00972A70" w:rsidP="00972A70">
      <w:pPr>
        <w:widowControl w:val="0"/>
        <w:numPr>
          <w:ilvl w:val="0"/>
          <w:numId w:val="3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городской инженерной сети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благоустройство городских и сельских улиц, полная газификация и водоснабжение населенных пунктов;</w:t>
      </w:r>
    </w:p>
    <w:p w:rsidR="00972A70" w:rsidRPr="00972A70" w:rsidRDefault="00972A70" w:rsidP="00972A70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Планируемое изменение границ сельских населенных пунктов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включением земель, необходимых для решения муниципальных и региональных вопросов, а также задач местного уровня, и уточнение сложившихся границ по фактической застройке.</w:t>
      </w:r>
    </w:p>
    <w:p w:rsidR="00972A70" w:rsidRPr="00972A70" w:rsidRDefault="00972A70" w:rsidP="00972A70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Перепрофилирование садоводческих участков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имеющих градостроительных и прочих ограничений, </w:t>
      </w:r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ЛПХ.</w:t>
      </w:r>
    </w:p>
    <w:p w:rsidR="00972A70" w:rsidRPr="00972A70" w:rsidRDefault="00972A70" w:rsidP="00972A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городского округа, в том числе территориально-планировочное, предусматривает включение в его структуру крупных </w:t>
      </w:r>
      <w:r w:rsidRPr="0097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инвестиционных проектов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новых узлов развития муниципального образования, их перечень приведен в таблице 26.</w:t>
      </w:r>
    </w:p>
    <w:p w:rsidR="00972A70" w:rsidRPr="00972A70" w:rsidRDefault="00972A70" w:rsidP="00972A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3402"/>
      </w:tblGrid>
      <w:tr w:rsidR="00972A70" w:rsidRPr="00972A70" w:rsidTr="00DB3EEA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r w:rsidRPr="00972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ind w:left="-108" w:right="-140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972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</w:t>
            </w:r>
            <w:proofErr w:type="spellEnd"/>
            <w:r w:rsidRPr="00972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участка (кв.м)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Месторасположение</w:t>
            </w:r>
          </w:p>
        </w:tc>
      </w:tr>
      <w:tr w:rsidR="00972A70" w:rsidRPr="00972A70" w:rsidTr="00DB3EEA">
        <w:tc>
          <w:tcPr>
            <w:tcW w:w="53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зала для занятия акробатикой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 м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Армавир, центр</w:t>
            </w:r>
          </w:p>
        </w:tc>
      </w:tr>
      <w:tr w:rsidR="00972A70" w:rsidRPr="00972A70" w:rsidTr="00DB3EEA">
        <w:tc>
          <w:tcPr>
            <w:tcW w:w="53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производственных помещений по металлообработке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 м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Армавир, 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</w:p>
        </w:tc>
      </w:tr>
      <w:tr w:rsidR="00972A70" w:rsidRPr="00972A70" w:rsidTr="00DB3EEA">
        <w:tc>
          <w:tcPr>
            <w:tcW w:w="53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предприятия (непищевое производство)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 м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Армавир, 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</w:p>
        </w:tc>
      </w:tr>
      <w:tr w:rsidR="00972A70" w:rsidRPr="00972A70" w:rsidTr="00DB3EEA">
        <w:tc>
          <w:tcPr>
            <w:tcW w:w="53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предприятия (пищевое производство)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 м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Армавир, вдоль ФАД «Кавказ»</w:t>
            </w:r>
          </w:p>
        </w:tc>
      </w:tr>
      <w:tr w:rsidR="00972A70" w:rsidRPr="00972A70" w:rsidTr="00DB3EEA">
        <w:tc>
          <w:tcPr>
            <w:tcW w:w="53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альтернативного автовокзала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 м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Армавир, </w:t>
            </w:r>
            <w:proofErr w:type="spellStart"/>
            <w:proofErr w:type="gram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Урупская вдоль автодороги Армавир-Отрадная</w:t>
            </w:r>
          </w:p>
        </w:tc>
      </w:tr>
      <w:tr w:rsidR="00972A70" w:rsidRPr="00972A70" w:rsidTr="00DB3EEA">
        <w:tc>
          <w:tcPr>
            <w:tcW w:w="53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выставки полнокомплектной сельскохозяйственной техники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 м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Армавир, вдоль ФАД «Кавказ»</w:t>
            </w:r>
          </w:p>
        </w:tc>
      </w:tr>
      <w:tr w:rsidR="00972A70" w:rsidRPr="00972A70" w:rsidTr="00DB3EEA">
        <w:tc>
          <w:tcPr>
            <w:tcW w:w="53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предприятия (непищевое производство)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 м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Армавир, 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</w:p>
        </w:tc>
      </w:tr>
      <w:tr w:rsidR="00972A70" w:rsidRPr="00972A70" w:rsidTr="00DB3EEA">
        <w:tc>
          <w:tcPr>
            <w:tcW w:w="53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предприятия (непищевое производство)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 м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Армавир, 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</w:p>
        </w:tc>
      </w:tr>
      <w:tr w:rsidR="00972A70" w:rsidRPr="00972A70" w:rsidTr="00DB3EEA">
        <w:tc>
          <w:tcPr>
            <w:tcW w:w="53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предприятия (пищевое производство)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35000 м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Армавир, 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</w:p>
        </w:tc>
      </w:tr>
      <w:tr w:rsidR="00972A70" w:rsidRPr="00972A70" w:rsidTr="00DB3EEA">
        <w:tc>
          <w:tcPr>
            <w:tcW w:w="53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Грузовой терминал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 м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Армавир, вдоль ФАД «Кавказ»</w:t>
            </w:r>
          </w:p>
        </w:tc>
      </w:tr>
      <w:tr w:rsidR="00972A70" w:rsidRPr="00972A70" w:rsidTr="00DB3EEA">
        <w:tc>
          <w:tcPr>
            <w:tcW w:w="53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предприятия (непищевое производство)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 м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Армавир, 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</w:p>
        </w:tc>
      </w:tr>
      <w:tr w:rsidR="00972A70" w:rsidRPr="00972A70" w:rsidTr="00DB3EEA">
        <w:tc>
          <w:tcPr>
            <w:tcW w:w="53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предприятия (непищевое производство)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59000 м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Армавир, 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</w:p>
        </w:tc>
      </w:tr>
      <w:tr w:rsidR="00972A70" w:rsidRPr="00972A70" w:rsidTr="00DB3EEA">
        <w:tc>
          <w:tcPr>
            <w:tcW w:w="53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Складские помещения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 м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Армавир, 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</w:p>
        </w:tc>
      </w:tr>
      <w:tr w:rsidR="00972A70" w:rsidRPr="00972A70" w:rsidTr="00DB3EEA">
        <w:tc>
          <w:tcPr>
            <w:tcW w:w="53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Транспортно-логистический комплекс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 м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Армавир, 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</w:p>
        </w:tc>
      </w:tr>
      <w:tr w:rsidR="00972A70" w:rsidRPr="00972A70" w:rsidTr="00DB3EEA">
        <w:tc>
          <w:tcPr>
            <w:tcW w:w="53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жилой застройки усадебного типа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 м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Армавир, на землях СКОС ВИМ</w:t>
            </w:r>
          </w:p>
        </w:tc>
      </w:tr>
      <w:tr w:rsidR="00972A70" w:rsidRPr="00972A70" w:rsidTr="00DB3EEA">
        <w:tc>
          <w:tcPr>
            <w:tcW w:w="53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легкоатлетического комплекса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 м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Армавир, возле городского стадиона</w:t>
            </w:r>
          </w:p>
        </w:tc>
      </w:tr>
      <w:tr w:rsidR="00972A70" w:rsidRPr="00972A70" w:rsidTr="00DB3EEA">
        <w:tc>
          <w:tcPr>
            <w:tcW w:w="53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предприятия (непищевое производство)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 м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Армавир, </w:t>
            </w:r>
            <w:proofErr w:type="gram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</w:p>
        </w:tc>
      </w:tr>
      <w:tr w:rsidR="00972A70" w:rsidRPr="00972A70" w:rsidTr="00DB3EEA">
        <w:tc>
          <w:tcPr>
            <w:tcW w:w="53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Тепличный комплекс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2A70" w:rsidRPr="00972A70" w:rsidRDefault="00972A70" w:rsidP="00972A70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 чел.</w:t>
            </w:r>
          </w:p>
        </w:tc>
        <w:tc>
          <w:tcPr>
            <w:tcW w:w="3402" w:type="dxa"/>
            <w:shd w:val="clear" w:color="auto" w:fill="auto"/>
          </w:tcPr>
          <w:p w:rsidR="00972A70" w:rsidRPr="00972A70" w:rsidRDefault="00972A70" w:rsidP="00972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Армавир, в районе с/т Заря</w:t>
            </w:r>
          </w:p>
        </w:tc>
      </w:tr>
    </w:tbl>
    <w:p w:rsidR="00972A70" w:rsidRPr="00972A70" w:rsidRDefault="00972A70" w:rsidP="0097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2A70" w:rsidRPr="00972A70" w:rsidRDefault="00972A70" w:rsidP="0097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2A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границах городского округа на землях сельскохозяйственного назначения расположены животноводческие фермы, полевые станы бригад, складские предприятия, другие объекты, обслуживающие сельскохозяйственное производство, на территории которых функционируют мастерские, </w:t>
      </w:r>
      <w:proofErr w:type="spellStart"/>
      <w:r w:rsidRPr="00972A70">
        <w:rPr>
          <w:rFonts w:ascii="Times New Roman" w:eastAsia="Times New Roman" w:hAnsi="Times New Roman" w:cs="Times New Roman"/>
          <w:sz w:val="28"/>
          <w:szCs w:val="20"/>
          <w:lang w:eastAsia="ru-RU"/>
        </w:rPr>
        <w:t>зернотоки</w:t>
      </w:r>
      <w:proofErr w:type="spellEnd"/>
      <w:r w:rsidRPr="00972A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зернохранилища, конторские здания, стоянки сельскохозяйственной техники. Проектом предлагается сохранение или восстановление по прямому функциональному назначению всех сельскохозяйственных предприятий поселения независимо от формы собственности, </w:t>
      </w:r>
      <w:proofErr w:type="gramStart"/>
      <w:r w:rsidRPr="00972A70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возможно</w:t>
      </w:r>
      <w:proofErr w:type="gramEnd"/>
      <w:r w:rsidRPr="00972A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их перепрофилирование.</w:t>
      </w:r>
    </w:p>
    <w:p w:rsidR="00972A70" w:rsidRPr="00972A70" w:rsidRDefault="00972A70" w:rsidP="00972A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72A7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Развитие малых сельских населенных пунктов на территории городского округа настоящим проектом предусматривается локально, с учетом имеющихся территориальных резервов каждого населенного пункта в проектных границах.</w:t>
      </w:r>
    </w:p>
    <w:p w:rsidR="00972A70" w:rsidRPr="00972A70" w:rsidRDefault="00972A70" w:rsidP="00972A70">
      <w:p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землях населенных пунктов обозначены территории, предлагаемые настоящим проектом к освоению по мере необходимости под жилую застройку.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Проектируемая жилая застройка </w:t>
      </w:r>
      <w:proofErr w:type="gramStart"/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proofErr w:type="gramEnd"/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исключительно индивидуальным жилым фондом с приусадебными участками с предельными размерами, устанавливаемыми администрацией городского округа. </w:t>
      </w:r>
      <w:proofErr w:type="gramStart"/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proofErr w:type="gramEnd"/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застройке, расположенной  в зонах различных планировочных ограничений, предъявляются требования по ее 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использованию: речь идет о водоохраной зоне, охранной зоне источников водоснабжения, зоне временной охраны памятников историко-культурного наследия, санитарно-защитной зоне от сельскохозяйственных предприятий, кладбищ и т.п..</w:t>
      </w:r>
    </w:p>
    <w:p w:rsidR="00972A70" w:rsidRPr="00972A70" w:rsidRDefault="00972A70" w:rsidP="0097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2A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очень низким уровнем обеспеченности малых населенных пунктов объектами обслуживания выполнен расчет необходимости в объектах обслуживания и зарезервированы </w:t>
      </w: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занятые застройкой земельные участки для размещения</w:t>
      </w:r>
      <w:r w:rsidRPr="00972A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минимально необходимого количества объектов общественных центров обслуживания. Ориентировочный состав: магазин товаров повседневного спроса, почтовое отделение связи, приемный пункт бытового обслуживания, отделение банка и т.п. </w:t>
      </w:r>
    </w:p>
    <w:p w:rsidR="00972A70" w:rsidRPr="00972A70" w:rsidRDefault="00972A70" w:rsidP="0097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2A7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составе проекта предусмотрено обеспечение населенных пунктов поселения полным набором инженерного обеспечения: водоснабжение, газоснабжение, электроснабжение, канализация, проводная связь, телевидение.</w:t>
      </w:r>
    </w:p>
    <w:p w:rsidR="00972A70" w:rsidRPr="00972A70" w:rsidRDefault="00972A70" w:rsidP="0097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Резервирование территорий с четким функциональным назначением предотвратит размещение экологически вредных объектов, препятствующих дальнейшему территориальному развитию населенных пунктов.</w:t>
      </w:r>
    </w:p>
    <w:p w:rsidR="00972A70" w:rsidRPr="00972A70" w:rsidRDefault="00972A70" w:rsidP="00972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72A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территории городского округа предлагается </w:t>
      </w:r>
      <w:proofErr w:type="gramStart"/>
      <w:r w:rsidRPr="00972A7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972A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мусороперерабатывающий комплекс (на месте существующей свалки бытовых отходов).</w:t>
      </w:r>
    </w:p>
    <w:p w:rsidR="007D010E" w:rsidRDefault="00972A70"/>
    <w:sectPr w:rsidR="007D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5AE7"/>
    <w:multiLevelType w:val="hybridMultilevel"/>
    <w:tmpl w:val="6ADE3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485E36"/>
    <w:multiLevelType w:val="hybridMultilevel"/>
    <w:tmpl w:val="90BCE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0A7E5E"/>
    <w:multiLevelType w:val="hybridMultilevel"/>
    <w:tmpl w:val="7DF6E32C"/>
    <w:lvl w:ilvl="0" w:tplc="B0645D14">
      <w:start w:val="1"/>
      <w:numFmt w:val="decimal"/>
      <w:lvlText w:val="%1."/>
      <w:lvlJc w:val="left"/>
      <w:pPr>
        <w:ind w:left="174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70"/>
    <w:rsid w:val="001E1AA1"/>
    <w:rsid w:val="00746E33"/>
    <w:rsid w:val="009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Гузиенко А.А.</dc:creator>
  <cp:keywords/>
  <dc:description/>
  <cp:lastModifiedBy>Гузиенко А.А.</cp:lastModifiedBy>
  <cp:revision>1</cp:revision>
  <dcterms:created xsi:type="dcterms:W3CDTF">2017-11-20T12:02:00Z</dcterms:created>
  <dcterms:modified xsi:type="dcterms:W3CDTF">2017-11-20T12:04:00Z</dcterms:modified>
</cp:coreProperties>
</file>