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D4" w:rsidRDefault="00EF00D4" w:rsidP="00FA3455">
      <w:pPr>
        <w:pStyle w:val="a8"/>
        <w:rPr>
          <w:sz w:val="24"/>
          <w:szCs w:val="24"/>
        </w:rPr>
      </w:pPr>
      <w:bookmarkStart w:id="0" w:name="_GoBack"/>
      <w:bookmarkEnd w:id="0"/>
    </w:p>
    <w:p w:rsidR="00EF00D4" w:rsidRPr="007C73B7" w:rsidRDefault="00EF00D4" w:rsidP="00EF00D4">
      <w:pPr>
        <w:pStyle w:val="a8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EF00D4" w:rsidRPr="007C73B7" w:rsidRDefault="00EF00D4" w:rsidP="00EF00D4">
      <w:pPr>
        <w:pStyle w:val="a8"/>
        <w:ind w:left="4678"/>
        <w:jc w:val="center"/>
        <w:rPr>
          <w:sz w:val="24"/>
          <w:szCs w:val="24"/>
        </w:rPr>
      </w:pPr>
    </w:p>
    <w:p w:rsidR="00EF00D4" w:rsidRPr="00360670" w:rsidRDefault="00EF00D4" w:rsidP="00EF00D4">
      <w:pPr>
        <w:pStyle w:val="a8"/>
        <w:ind w:left="4678"/>
        <w:jc w:val="center"/>
        <w:rPr>
          <w:sz w:val="24"/>
          <w:szCs w:val="24"/>
        </w:rPr>
      </w:pPr>
      <w:r w:rsidRPr="00360670">
        <w:rPr>
          <w:sz w:val="24"/>
          <w:szCs w:val="24"/>
        </w:rPr>
        <w:t>УТВЕРЖДЕНО</w:t>
      </w:r>
    </w:p>
    <w:p w:rsidR="00EF00D4" w:rsidRPr="00360670" w:rsidRDefault="00EF00D4" w:rsidP="00EF00D4">
      <w:pPr>
        <w:ind w:left="4678"/>
        <w:jc w:val="center"/>
        <w:rPr>
          <w:sz w:val="24"/>
        </w:rPr>
      </w:pPr>
      <w:r w:rsidRPr="00360670">
        <w:rPr>
          <w:sz w:val="24"/>
        </w:rPr>
        <w:t xml:space="preserve">решением </w:t>
      </w:r>
      <w:proofErr w:type="gramStart"/>
      <w:r w:rsidRPr="00360670">
        <w:rPr>
          <w:sz w:val="24"/>
        </w:rPr>
        <w:t>территориальной</w:t>
      </w:r>
      <w:proofErr w:type="gramEnd"/>
    </w:p>
    <w:p w:rsidR="00EF00D4" w:rsidRPr="00360670" w:rsidRDefault="00EF00D4" w:rsidP="00EF00D4">
      <w:pPr>
        <w:ind w:left="4678"/>
        <w:jc w:val="center"/>
        <w:rPr>
          <w:sz w:val="24"/>
        </w:rPr>
      </w:pPr>
      <w:r w:rsidRPr="00360670">
        <w:rPr>
          <w:sz w:val="24"/>
        </w:rPr>
        <w:t>избирательной комиссии</w:t>
      </w:r>
    </w:p>
    <w:p w:rsidR="00EF00D4" w:rsidRPr="00A942B9" w:rsidRDefault="00EC302D" w:rsidP="00EF00D4">
      <w:pPr>
        <w:ind w:left="4678"/>
        <w:jc w:val="center"/>
        <w:rPr>
          <w:sz w:val="24"/>
        </w:rPr>
      </w:pPr>
      <w:r w:rsidRPr="00A942B9">
        <w:rPr>
          <w:sz w:val="24"/>
        </w:rPr>
        <w:t xml:space="preserve">от </w:t>
      </w:r>
      <w:r w:rsidR="00E76A0D">
        <w:rPr>
          <w:sz w:val="24"/>
        </w:rPr>
        <w:t>26</w:t>
      </w:r>
      <w:r w:rsidR="00F91725">
        <w:rPr>
          <w:sz w:val="24"/>
        </w:rPr>
        <w:t xml:space="preserve"> февраля 2024 г.</w:t>
      </w:r>
      <w:r w:rsidR="00360670" w:rsidRPr="00A942B9">
        <w:rPr>
          <w:sz w:val="24"/>
        </w:rPr>
        <w:t xml:space="preserve"> №</w:t>
      </w:r>
      <w:r w:rsidR="00E76A0D">
        <w:rPr>
          <w:sz w:val="24"/>
        </w:rPr>
        <w:t>119/982</w:t>
      </w:r>
    </w:p>
    <w:p w:rsidR="00EF00D4" w:rsidRPr="007C73B7" w:rsidRDefault="00EF00D4" w:rsidP="00EF00D4">
      <w:pPr>
        <w:pStyle w:val="30"/>
        <w:rPr>
          <w:bCs w:val="0"/>
          <w:sz w:val="24"/>
          <w:szCs w:val="24"/>
        </w:rPr>
      </w:pPr>
    </w:p>
    <w:p w:rsidR="00EF00D4" w:rsidRPr="00EF00D4" w:rsidRDefault="00EF00D4" w:rsidP="00EF00D4">
      <w:pPr>
        <w:rPr>
          <w:b/>
          <w:sz w:val="28"/>
          <w:szCs w:val="28"/>
          <w:u w:val="single"/>
        </w:rPr>
      </w:pPr>
    </w:p>
    <w:p w:rsidR="00EF00D4" w:rsidRPr="00EC302D" w:rsidRDefault="00EC302D" w:rsidP="00EF00D4">
      <w:pPr>
        <w:jc w:val="center"/>
        <w:rPr>
          <w:b/>
          <w:sz w:val="28"/>
          <w:szCs w:val="28"/>
        </w:rPr>
      </w:pPr>
      <w:r w:rsidRPr="00EC302D">
        <w:rPr>
          <w:b/>
          <w:sz w:val="28"/>
          <w:szCs w:val="28"/>
        </w:rPr>
        <w:t>ПЛА</w:t>
      </w:r>
      <w:r w:rsidR="00EF00D4" w:rsidRPr="00EC302D">
        <w:rPr>
          <w:b/>
          <w:sz w:val="28"/>
          <w:szCs w:val="28"/>
        </w:rPr>
        <w:t>Н</w:t>
      </w:r>
    </w:p>
    <w:p w:rsidR="00EF00D4" w:rsidRPr="001407CD" w:rsidRDefault="00EC302D" w:rsidP="00EC302D">
      <w:pPr>
        <w:pStyle w:val="ConsPlusNormal"/>
        <w:jc w:val="center"/>
        <w:outlineLvl w:val="0"/>
        <w:rPr>
          <w:b/>
        </w:rPr>
      </w:pPr>
      <w:r w:rsidRPr="001407CD">
        <w:rPr>
          <w:b/>
        </w:rPr>
        <w:t>мероприятий</w:t>
      </w:r>
      <w:r w:rsidR="00EF00D4" w:rsidRPr="001407CD">
        <w:rPr>
          <w:b/>
        </w:rPr>
        <w:t xml:space="preserve"> по созданию условий реализации избирательных прав граждан Российской Федерации, являющихся инвалида</w:t>
      </w:r>
      <w:r w:rsidR="00F91725">
        <w:rPr>
          <w:b/>
        </w:rPr>
        <w:t>ми, при подготовке и проведении</w:t>
      </w:r>
      <w:r w:rsidR="001407CD" w:rsidRPr="001407CD">
        <w:rPr>
          <w:b/>
        </w:rPr>
        <w:t xml:space="preserve"> выборов </w:t>
      </w:r>
      <w:r w:rsidR="00F91725">
        <w:rPr>
          <w:b/>
        </w:rPr>
        <w:t>Президента Российской Федерации</w:t>
      </w:r>
    </w:p>
    <w:p w:rsidR="00EF00D4" w:rsidRPr="00323868" w:rsidRDefault="00EF00D4" w:rsidP="00EF00D4">
      <w:pPr>
        <w:spacing w:line="192" w:lineRule="auto"/>
        <w:jc w:val="center"/>
        <w:outlineLvl w:val="0"/>
        <w:rPr>
          <w:b/>
          <w:szCs w:val="28"/>
          <w:u w:val="single"/>
        </w:rPr>
      </w:pPr>
    </w:p>
    <w:p w:rsidR="00EF00D4" w:rsidRPr="00EC302D" w:rsidRDefault="00EF00D4" w:rsidP="00EC302D">
      <w:pPr>
        <w:spacing w:line="192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8080"/>
        <w:gridCol w:w="236"/>
        <w:gridCol w:w="4867"/>
      </w:tblGrid>
      <w:tr w:rsidR="00EF00D4" w:rsidRPr="00EC302D" w:rsidTr="00F91725">
        <w:trPr>
          <w:trHeight w:val="1265"/>
        </w:trPr>
        <w:tc>
          <w:tcPr>
            <w:tcW w:w="709" w:type="dxa"/>
            <w:shd w:val="clear" w:color="auto" w:fill="auto"/>
          </w:tcPr>
          <w:p w:rsidR="00EF00D4" w:rsidRPr="00EC302D" w:rsidRDefault="00EF00D4" w:rsidP="001915B5">
            <w:pPr>
              <w:overflowPunct w:val="0"/>
              <w:autoSpaceDE w:val="0"/>
              <w:autoSpaceDN w:val="0"/>
              <w:adjustRightInd w:val="0"/>
              <w:spacing w:before="40" w:after="80" w:line="18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C302D">
              <w:rPr>
                <w:b/>
                <w:sz w:val="28"/>
                <w:szCs w:val="28"/>
              </w:rPr>
              <w:t xml:space="preserve">№   </w:t>
            </w:r>
            <w:proofErr w:type="gramStart"/>
            <w:r w:rsidRPr="00EC302D">
              <w:rPr>
                <w:b/>
                <w:sz w:val="28"/>
                <w:szCs w:val="28"/>
              </w:rPr>
              <w:t>п</w:t>
            </w:r>
            <w:proofErr w:type="gramEnd"/>
            <w:r w:rsidRPr="00EC302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EF00D4" w:rsidRPr="00EC302D" w:rsidRDefault="00EF00D4" w:rsidP="001915B5">
            <w:pPr>
              <w:overflowPunct w:val="0"/>
              <w:autoSpaceDE w:val="0"/>
              <w:autoSpaceDN w:val="0"/>
              <w:adjustRightInd w:val="0"/>
              <w:spacing w:before="40" w:after="80" w:line="18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C302D">
              <w:rPr>
                <w:b/>
                <w:sz w:val="28"/>
                <w:szCs w:val="28"/>
              </w:rPr>
              <w:t xml:space="preserve"> Дата проведения </w:t>
            </w:r>
          </w:p>
        </w:tc>
        <w:tc>
          <w:tcPr>
            <w:tcW w:w="8080" w:type="dxa"/>
            <w:shd w:val="clear" w:color="auto" w:fill="auto"/>
          </w:tcPr>
          <w:p w:rsidR="00EF00D4" w:rsidRPr="00EC302D" w:rsidRDefault="00EF00D4" w:rsidP="001915B5">
            <w:pPr>
              <w:overflowPunct w:val="0"/>
              <w:autoSpaceDE w:val="0"/>
              <w:autoSpaceDN w:val="0"/>
              <w:adjustRightInd w:val="0"/>
              <w:spacing w:before="40" w:after="80" w:line="18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C302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F00D4" w:rsidRPr="00EC302D" w:rsidRDefault="00EC302D" w:rsidP="00EC302D">
            <w:pPr>
              <w:overflowPunct w:val="0"/>
              <w:autoSpaceDE w:val="0"/>
              <w:autoSpaceDN w:val="0"/>
              <w:adjustRightInd w:val="0"/>
              <w:spacing w:before="40" w:after="80" w:line="18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EF00D4" w:rsidRPr="001915B5" w:rsidTr="00F91725">
        <w:trPr>
          <w:trHeight w:val="333"/>
        </w:trPr>
        <w:tc>
          <w:tcPr>
            <w:tcW w:w="709" w:type="dxa"/>
            <w:shd w:val="clear" w:color="auto" w:fill="auto"/>
          </w:tcPr>
          <w:p w:rsidR="00EF00D4" w:rsidRPr="001915B5" w:rsidRDefault="00EF00D4" w:rsidP="001915B5">
            <w:pPr>
              <w:overflowPunct w:val="0"/>
              <w:autoSpaceDE w:val="0"/>
              <w:autoSpaceDN w:val="0"/>
              <w:adjustRightInd w:val="0"/>
              <w:spacing w:before="40" w:after="80" w:line="180" w:lineRule="auto"/>
              <w:jc w:val="center"/>
              <w:textAlignment w:val="baseline"/>
              <w:rPr>
                <w:sz w:val="24"/>
              </w:rPr>
            </w:pPr>
            <w:r w:rsidRPr="001915B5"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F00D4" w:rsidRPr="001915B5" w:rsidRDefault="00EF00D4" w:rsidP="001915B5">
            <w:pPr>
              <w:overflowPunct w:val="0"/>
              <w:autoSpaceDE w:val="0"/>
              <w:autoSpaceDN w:val="0"/>
              <w:adjustRightInd w:val="0"/>
              <w:spacing w:before="40" w:after="80" w:line="180" w:lineRule="auto"/>
              <w:jc w:val="center"/>
              <w:textAlignment w:val="baseline"/>
              <w:rPr>
                <w:sz w:val="24"/>
              </w:rPr>
            </w:pPr>
            <w:r w:rsidRPr="001915B5">
              <w:rPr>
                <w:sz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F00D4" w:rsidRPr="001915B5" w:rsidRDefault="00EF00D4" w:rsidP="001915B5">
            <w:pPr>
              <w:overflowPunct w:val="0"/>
              <w:autoSpaceDE w:val="0"/>
              <w:autoSpaceDN w:val="0"/>
              <w:adjustRightInd w:val="0"/>
              <w:spacing w:before="40" w:after="80" w:line="180" w:lineRule="auto"/>
              <w:jc w:val="center"/>
              <w:textAlignment w:val="baseline"/>
              <w:rPr>
                <w:sz w:val="24"/>
              </w:rPr>
            </w:pPr>
            <w:r w:rsidRPr="001915B5">
              <w:rPr>
                <w:sz w:val="24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EF00D4" w:rsidRPr="001915B5" w:rsidRDefault="00EF00D4" w:rsidP="001915B5">
            <w:pPr>
              <w:overflowPunct w:val="0"/>
              <w:autoSpaceDE w:val="0"/>
              <w:autoSpaceDN w:val="0"/>
              <w:adjustRightInd w:val="0"/>
              <w:spacing w:before="40" w:after="80" w:line="180" w:lineRule="auto"/>
              <w:jc w:val="center"/>
              <w:textAlignment w:val="baseline"/>
              <w:rPr>
                <w:sz w:val="24"/>
              </w:rPr>
            </w:pPr>
            <w:r w:rsidRPr="001915B5">
              <w:rPr>
                <w:sz w:val="24"/>
              </w:rPr>
              <w:t xml:space="preserve"> </w:t>
            </w:r>
          </w:p>
        </w:tc>
        <w:tc>
          <w:tcPr>
            <w:tcW w:w="4867" w:type="dxa"/>
            <w:shd w:val="clear" w:color="auto" w:fill="auto"/>
          </w:tcPr>
          <w:p w:rsidR="00EF00D4" w:rsidRPr="001915B5" w:rsidRDefault="00914E0E" w:rsidP="001915B5">
            <w:pPr>
              <w:overflowPunct w:val="0"/>
              <w:autoSpaceDE w:val="0"/>
              <w:autoSpaceDN w:val="0"/>
              <w:adjustRightInd w:val="0"/>
              <w:spacing w:before="40" w:after="80" w:line="180" w:lineRule="auto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F00D4" w:rsidRPr="001915B5" w:rsidTr="00914E0E">
        <w:tc>
          <w:tcPr>
            <w:tcW w:w="1516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F00D4" w:rsidRPr="00914E0E" w:rsidRDefault="00847332" w:rsidP="00191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14E0E">
              <w:rPr>
                <w:b/>
                <w:sz w:val="28"/>
                <w:szCs w:val="28"/>
              </w:rPr>
              <w:t>1.</w:t>
            </w:r>
            <w:r w:rsidR="00EF00D4" w:rsidRPr="00914E0E">
              <w:rPr>
                <w:b/>
                <w:sz w:val="28"/>
                <w:szCs w:val="28"/>
              </w:rPr>
              <w:t>Организационные мероприятия</w:t>
            </w:r>
          </w:p>
          <w:p w:rsidR="00847332" w:rsidRPr="001915B5" w:rsidRDefault="00847332" w:rsidP="001915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F00D4" w:rsidRPr="001915B5" w:rsidTr="00F91725">
        <w:trPr>
          <w:cantSplit/>
          <w:trHeight w:val="1060"/>
        </w:trPr>
        <w:tc>
          <w:tcPr>
            <w:tcW w:w="709" w:type="dxa"/>
            <w:shd w:val="clear" w:color="auto" w:fill="auto"/>
          </w:tcPr>
          <w:p w:rsidR="00EF00D4" w:rsidRPr="00914E0E" w:rsidRDefault="00EF00D4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F00D4" w:rsidRPr="00914E0E" w:rsidRDefault="003F37F9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Весь период</w:t>
            </w:r>
          </w:p>
        </w:tc>
        <w:tc>
          <w:tcPr>
            <w:tcW w:w="8080" w:type="dxa"/>
            <w:shd w:val="clear" w:color="auto" w:fill="auto"/>
          </w:tcPr>
          <w:p w:rsidR="00EF00D4" w:rsidRPr="00914E0E" w:rsidRDefault="00EF00D4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Проведе</w:t>
            </w:r>
            <w:r w:rsidR="003F37F9" w:rsidRPr="00914E0E">
              <w:rPr>
                <w:sz w:val="28"/>
                <w:szCs w:val="28"/>
              </w:rPr>
              <w:t>ние заседаний рабочей группы по реализации избирательных прав граждан Российской Федерации, являющихся инвалидами.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00D4" w:rsidRPr="00914E0E" w:rsidRDefault="009F3D0B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Зам.</w:t>
            </w:r>
            <w:r w:rsidR="007E2423" w:rsidRPr="00914E0E">
              <w:rPr>
                <w:sz w:val="28"/>
                <w:szCs w:val="28"/>
              </w:rPr>
              <w:t xml:space="preserve"> </w:t>
            </w:r>
            <w:r w:rsidRPr="00914E0E">
              <w:rPr>
                <w:sz w:val="28"/>
                <w:szCs w:val="28"/>
              </w:rPr>
              <w:t>председателя Т</w:t>
            </w:r>
            <w:r w:rsidR="00EF00D4" w:rsidRPr="00914E0E">
              <w:rPr>
                <w:sz w:val="28"/>
                <w:szCs w:val="28"/>
              </w:rPr>
              <w:t>ИК</w:t>
            </w:r>
            <w:r w:rsidR="007E2423" w:rsidRPr="00914E0E">
              <w:rPr>
                <w:sz w:val="28"/>
                <w:szCs w:val="28"/>
              </w:rPr>
              <w:t xml:space="preserve"> Армавирская</w:t>
            </w:r>
          </w:p>
        </w:tc>
      </w:tr>
      <w:tr w:rsidR="00EF00D4" w:rsidRPr="001915B5" w:rsidTr="00F91725">
        <w:trPr>
          <w:cantSplit/>
          <w:trHeight w:val="400"/>
        </w:trPr>
        <w:tc>
          <w:tcPr>
            <w:tcW w:w="709" w:type="dxa"/>
            <w:shd w:val="clear" w:color="auto" w:fill="auto"/>
          </w:tcPr>
          <w:p w:rsidR="00EF00D4" w:rsidRPr="00914E0E" w:rsidRDefault="00EF00D4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EF00D4" w:rsidRPr="00914E0E" w:rsidRDefault="00E76A0D" w:rsidP="00F917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9172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</w:t>
            </w:r>
            <w:r w:rsidR="00F91725">
              <w:rPr>
                <w:sz w:val="28"/>
                <w:szCs w:val="28"/>
              </w:rPr>
              <w:t>раль-март</w:t>
            </w:r>
          </w:p>
        </w:tc>
        <w:tc>
          <w:tcPr>
            <w:tcW w:w="8080" w:type="dxa"/>
            <w:shd w:val="clear" w:color="auto" w:fill="auto"/>
          </w:tcPr>
          <w:p w:rsidR="00EF00D4" w:rsidRPr="00914E0E" w:rsidRDefault="00EF00D4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 xml:space="preserve">Сбор информации об избирательных участках, которые </w:t>
            </w:r>
            <w:r w:rsidR="00A942B9">
              <w:rPr>
                <w:sz w:val="28"/>
                <w:szCs w:val="28"/>
              </w:rPr>
              <w:t xml:space="preserve">не </w:t>
            </w:r>
            <w:r w:rsidRPr="00914E0E">
              <w:rPr>
                <w:sz w:val="28"/>
                <w:szCs w:val="28"/>
              </w:rPr>
              <w:t>соответствуют требованиям законодательства о беспрепятственном доступе к ним избирателей, являющихся инвалидами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F00D4" w:rsidRPr="00914E0E" w:rsidRDefault="00EF00D4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Члены рабочей группы</w:t>
            </w:r>
          </w:p>
        </w:tc>
      </w:tr>
      <w:tr w:rsidR="00EF00D4" w:rsidRPr="001915B5" w:rsidTr="00F91725">
        <w:trPr>
          <w:cantSplit/>
          <w:trHeight w:val="400"/>
        </w:trPr>
        <w:tc>
          <w:tcPr>
            <w:tcW w:w="709" w:type="dxa"/>
            <w:shd w:val="clear" w:color="auto" w:fill="auto"/>
          </w:tcPr>
          <w:p w:rsidR="00EF00D4" w:rsidRPr="00914E0E" w:rsidRDefault="00EF00D4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EF00D4" w:rsidRPr="00914E0E" w:rsidRDefault="00E76A0D" w:rsidP="00F917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080" w:type="dxa"/>
            <w:shd w:val="clear" w:color="auto" w:fill="auto"/>
          </w:tcPr>
          <w:p w:rsidR="00EF00D4" w:rsidRPr="00914E0E" w:rsidRDefault="00EF00D4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 xml:space="preserve">Формирование списка УИК, где будут размещаться </w:t>
            </w:r>
            <w:r w:rsidR="00847332" w:rsidRPr="00914E0E">
              <w:rPr>
                <w:sz w:val="28"/>
                <w:szCs w:val="28"/>
              </w:rPr>
              <w:t>материалы,</w:t>
            </w:r>
            <w:r w:rsidRPr="00914E0E">
              <w:rPr>
                <w:sz w:val="28"/>
                <w:szCs w:val="28"/>
              </w:rPr>
              <w:t xml:space="preserve"> выполненные крупным шрифтом и (или) с применением рельефно-точечного шрифта Брайля, об избирательных участках, для которых будут изготавливаться специальные трафареты для самостоятельного заполнения бюллетеней избирателями, являющимися инвалидами по зрению с указанием избирательного участка.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F00D4" w:rsidRPr="00914E0E" w:rsidRDefault="00EF00D4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Секретарь, член</w:t>
            </w:r>
            <w:r w:rsidR="00640DC8" w:rsidRPr="00914E0E">
              <w:rPr>
                <w:sz w:val="28"/>
                <w:szCs w:val="28"/>
              </w:rPr>
              <w:t>ы ТИК совместно с Общественными организациями</w:t>
            </w:r>
            <w:r w:rsidRPr="00914E0E">
              <w:rPr>
                <w:sz w:val="28"/>
                <w:szCs w:val="28"/>
              </w:rPr>
              <w:t xml:space="preserve"> </w:t>
            </w:r>
          </w:p>
        </w:tc>
      </w:tr>
      <w:tr w:rsidR="00EF00D4" w:rsidRPr="001915B5" w:rsidTr="00F91725">
        <w:trPr>
          <w:cantSplit/>
          <w:trHeight w:val="768"/>
        </w:trPr>
        <w:tc>
          <w:tcPr>
            <w:tcW w:w="709" w:type="dxa"/>
            <w:shd w:val="clear" w:color="auto" w:fill="auto"/>
          </w:tcPr>
          <w:p w:rsidR="00EF00D4" w:rsidRPr="00914E0E" w:rsidRDefault="00EF00D4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EF00D4" w:rsidRPr="00914E0E" w:rsidRDefault="00EF00D4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Весь период</w:t>
            </w:r>
          </w:p>
        </w:tc>
        <w:tc>
          <w:tcPr>
            <w:tcW w:w="8080" w:type="dxa"/>
            <w:shd w:val="clear" w:color="auto" w:fill="auto"/>
          </w:tcPr>
          <w:p w:rsidR="00EF00D4" w:rsidRPr="00914E0E" w:rsidRDefault="00EF00D4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Проведение совместных мероприятий по вопросам, связанным с обеспечением избирательных прав граждан с ограниченными физическими возможностями.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F00D4" w:rsidRPr="00914E0E" w:rsidRDefault="00EF00D4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Председатель ТИК, администрация МО г.</w:t>
            </w:r>
            <w:r w:rsidR="00640DC8" w:rsidRPr="00914E0E">
              <w:rPr>
                <w:sz w:val="28"/>
                <w:szCs w:val="28"/>
              </w:rPr>
              <w:t xml:space="preserve"> </w:t>
            </w:r>
            <w:r w:rsidRPr="00914E0E">
              <w:rPr>
                <w:sz w:val="28"/>
                <w:szCs w:val="28"/>
              </w:rPr>
              <w:t>Армавир</w:t>
            </w:r>
          </w:p>
          <w:p w:rsidR="00EF00D4" w:rsidRPr="00914E0E" w:rsidRDefault="00EF00D4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F00D4" w:rsidRPr="001915B5" w:rsidTr="00F91725">
        <w:trPr>
          <w:cantSplit/>
          <w:trHeight w:val="768"/>
        </w:trPr>
        <w:tc>
          <w:tcPr>
            <w:tcW w:w="709" w:type="dxa"/>
            <w:shd w:val="clear" w:color="auto" w:fill="auto"/>
          </w:tcPr>
          <w:p w:rsidR="00EF00D4" w:rsidRPr="00914E0E" w:rsidRDefault="00EF00D4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EF00D4" w:rsidRPr="00914E0E" w:rsidRDefault="007C0160" w:rsidP="007C01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марта</w:t>
            </w:r>
          </w:p>
        </w:tc>
        <w:tc>
          <w:tcPr>
            <w:tcW w:w="8080" w:type="dxa"/>
            <w:shd w:val="clear" w:color="auto" w:fill="auto"/>
          </w:tcPr>
          <w:p w:rsidR="00EF00D4" w:rsidRPr="00914E0E" w:rsidRDefault="003D263A" w:rsidP="002603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 xml:space="preserve">Передача в </w:t>
            </w:r>
            <w:r w:rsidR="00EF00D4" w:rsidRPr="00914E0E">
              <w:rPr>
                <w:sz w:val="28"/>
                <w:szCs w:val="28"/>
              </w:rPr>
              <w:t>участковые избирательные комиссии информационно-разъяснительных материалов для избирателе</w:t>
            </w:r>
            <w:r w:rsidR="006B5805">
              <w:rPr>
                <w:sz w:val="28"/>
                <w:szCs w:val="28"/>
              </w:rPr>
              <w:t>й (плакаты, брошюры</w:t>
            </w:r>
            <w:r w:rsidR="00EF00D4" w:rsidRPr="00914E0E">
              <w:rPr>
                <w:sz w:val="28"/>
                <w:szCs w:val="28"/>
              </w:rPr>
              <w:t xml:space="preserve"> и др.), в том чи</w:t>
            </w:r>
            <w:r w:rsidR="002603BF">
              <w:rPr>
                <w:sz w:val="28"/>
                <w:szCs w:val="28"/>
              </w:rPr>
              <w:t>сле выполненных крупных шрифтом.</w:t>
            </w:r>
            <w:r w:rsidR="00EF00D4" w:rsidRPr="00914E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F00D4" w:rsidRPr="00914E0E" w:rsidRDefault="00EF00D4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ТИК</w:t>
            </w:r>
            <w:r w:rsidR="007E2423" w:rsidRPr="00914E0E">
              <w:rPr>
                <w:sz w:val="28"/>
                <w:szCs w:val="28"/>
              </w:rPr>
              <w:t xml:space="preserve"> Армавирская</w:t>
            </w:r>
          </w:p>
        </w:tc>
      </w:tr>
      <w:tr w:rsidR="006B5805" w:rsidRPr="001915B5" w:rsidTr="00F91725">
        <w:trPr>
          <w:cantSplit/>
          <w:trHeight w:val="768"/>
        </w:trPr>
        <w:tc>
          <w:tcPr>
            <w:tcW w:w="709" w:type="dxa"/>
            <w:shd w:val="clear" w:color="auto" w:fill="auto"/>
          </w:tcPr>
          <w:p w:rsidR="006B5805" w:rsidRPr="00914E0E" w:rsidRDefault="00F17C6A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14E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B5805" w:rsidRPr="00914E0E" w:rsidRDefault="006B5805" w:rsidP="007C01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080" w:type="dxa"/>
            <w:shd w:val="clear" w:color="auto" w:fill="auto"/>
          </w:tcPr>
          <w:p w:rsidR="006B5805" w:rsidRPr="00E76A0D" w:rsidRDefault="006B5805" w:rsidP="002603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76A0D">
              <w:rPr>
                <w:sz w:val="28"/>
                <w:szCs w:val="28"/>
              </w:rPr>
              <w:t>Размещение информационных материалов, выполненных крупным шрифтом, для информирования избирателей, являющихся инвалидами по зрению, а также специальных трафаретов для самостоятельного заполнения бюллетеня на избирательных участках, определенных постановлением избирательной комиссии Краснодарского края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B5805" w:rsidRPr="00914E0E" w:rsidRDefault="006B5805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EF00D4" w:rsidRPr="001915B5" w:rsidTr="00F91725">
        <w:trPr>
          <w:cantSplit/>
          <w:trHeight w:val="51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F00D4" w:rsidRPr="00914E0E" w:rsidRDefault="00F17C6A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14E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00D4" w:rsidRPr="00914E0E" w:rsidRDefault="00EF00D4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Весь период</w:t>
            </w:r>
          </w:p>
        </w:tc>
        <w:tc>
          <w:tcPr>
            <w:tcW w:w="8080" w:type="dxa"/>
            <w:shd w:val="clear" w:color="auto" w:fill="auto"/>
          </w:tcPr>
          <w:p w:rsidR="00EF00D4" w:rsidRPr="00914E0E" w:rsidRDefault="00EF00D4" w:rsidP="002603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 xml:space="preserve">Проведение консультаций </w:t>
            </w:r>
            <w:proofErr w:type="gramStart"/>
            <w:r w:rsidRPr="00914E0E">
              <w:rPr>
                <w:sz w:val="28"/>
                <w:szCs w:val="28"/>
              </w:rPr>
              <w:t>с городскими общественными организациями по работе с инвалидами при подготовке документов по вопросам</w:t>
            </w:r>
            <w:proofErr w:type="gramEnd"/>
            <w:r w:rsidRPr="00914E0E">
              <w:rPr>
                <w:sz w:val="28"/>
                <w:szCs w:val="28"/>
              </w:rPr>
              <w:t xml:space="preserve">, связанным с реализацией избирательных прав граждан с ограниченными физическими возможностями по вопросу включения избирателя в список избирателей </w:t>
            </w:r>
            <w:r w:rsidR="002603BF">
              <w:rPr>
                <w:sz w:val="28"/>
                <w:szCs w:val="28"/>
              </w:rPr>
              <w:t xml:space="preserve">для голосования вне помещения голосования </w:t>
            </w:r>
            <w:r w:rsidRPr="00914E0E">
              <w:rPr>
                <w:sz w:val="28"/>
                <w:szCs w:val="28"/>
              </w:rPr>
              <w:t>и поря</w:t>
            </w:r>
            <w:r w:rsidR="003D263A" w:rsidRPr="00914E0E">
              <w:rPr>
                <w:sz w:val="28"/>
                <w:szCs w:val="28"/>
              </w:rPr>
              <w:t xml:space="preserve">дком голосования вне помещения </w:t>
            </w:r>
            <w:r w:rsidRPr="00914E0E">
              <w:rPr>
                <w:sz w:val="28"/>
                <w:szCs w:val="28"/>
              </w:rPr>
              <w:t>для голосования.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F00D4" w:rsidRPr="00914E0E" w:rsidRDefault="003D263A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 xml:space="preserve">члены </w:t>
            </w:r>
            <w:r w:rsidR="00FA3455" w:rsidRPr="00914E0E">
              <w:rPr>
                <w:sz w:val="28"/>
                <w:szCs w:val="28"/>
              </w:rPr>
              <w:t>Т</w:t>
            </w:r>
            <w:r w:rsidR="00EF00D4" w:rsidRPr="00914E0E">
              <w:rPr>
                <w:sz w:val="28"/>
                <w:szCs w:val="28"/>
              </w:rPr>
              <w:t>ИК</w:t>
            </w:r>
            <w:r w:rsidR="007E2423" w:rsidRPr="00914E0E">
              <w:rPr>
                <w:sz w:val="28"/>
                <w:szCs w:val="28"/>
              </w:rPr>
              <w:t xml:space="preserve"> Армавирская</w:t>
            </w:r>
          </w:p>
        </w:tc>
      </w:tr>
      <w:tr w:rsidR="00EF00D4" w:rsidRPr="001915B5" w:rsidTr="00F91725">
        <w:trPr>
          <w:cantSplit/>
          <w:trHeight w:val="5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00D4" w:rsidRPr="00914E0E" w:rsidRDefault="00F17C6A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14E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F00D4" w:rsidRPr="00914E0E" w:rsidRDefault="00EF00D4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Весь период</w:t>
            </w:r>
          </w:p>
        </w:tc>
        <w:tc>
          <w:tcPr>
            <w:tcW w:w="8080" w:type="dxa"/>
            <w:tcBorders>
              <w:top w:val="nil"/>
            </w:tcBorders>
            <w:shd w:val="clear" w:color="auto" w:fill="auto"/>
          </w:tcPr>
          <w:p w:rsidR="00EF00D4" w:rsidRPr="00914E0E" w:rsidRDefault="00EF00D4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 xml:space="preserve">Оказание содействия участковым избирательным комиссиям (далее УИК), городскому обществу инвалидов в организации работы по обеспечению избирательных прав граждан с ограниченными физическими возможностями. </w:t>
            </w:r>
          </w:p>
        </w:tc>
        <w:tc>
          <w:tcPr>
            <w:tcW w:w="5103" w:type="dxa"/>
            <w:gridSpan w:val="2"/>
            <w:tcBorders>
              <w:top w:val="nil"/>
            </w:tcBorders>
            <w:shd w:val="clear" w:color="auto" w:fill="auto"/>
          </w:tcPr>
          <w:p w:rsidR="00EF00D4" w:rsidRPr="00914E0E" w:rsidRDefault="00FA3455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Т</w:t>
            </w:r>
            <w:r w:rsidR="00EF00D4" w:rsidRPr="00914E0E">
              <w:rPr>
                <w:sz w:val="28"/>
                <w:szCs w:val="28"/>
              </w:rPr>
              <w:t>ИК</w:t>
            </w:r>
            <w:r w:rsidR="000B4808" w:rsidRPr="00914E0E">
              <w:rPr>
                <w:sz w:val="28"/>
                <w:szCs w:val="28"/>
              </w:rPr>
              <w:t xml:space="preserve"> Армавирская</w:t>
            </w:r>
          </w:p>
          <w:p w:rsidR="00EF00D4" w:rsidRPr="00914E0E" w:rsidRDefault="00EF00D4" w:rsidP="00914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17C6A" w:rsidRPr="001915B5" w:rsidTr="00F91725">
        <w:trPr>
          <w:cantSplit/>
          <w:trHeight w:val="2692"/>
        </w:trPr>
        <w:tc>
          <w:tcPr>
            <w:tcW w:w="709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14E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080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Формирование групп волонтеров для каждого избирательного участка для оказания помощи УИК по уточнению списков инвалидов, их категорий, по дополнительному информированию данной категории избирателей по вопросам реализации их избирательных прав</w:t>
            </w:r>
            <w:proofErr w:type="gramStart"/>
            <w:r w:rsidRPr="00914E0E">
              <w:rPr>
                <w:sz w:val="28"/>
                <w:szCs w:val="28"/>
              </w:rPr>
              <w:t>.</w:t>
            </w:r>
            <w:proofErr w:type="gramEnd"/>
            <w:r w:rsidRPr="00914E0E">
              <w:rPr>
                <w:sz w:val="28"/>
                <w:szCs w:val="28"/>
              </w:rPr>
              <w:t xml:space="preserve"> </w:t>
            </w:r>
            <w:proofErr w:type="gramStart"/>
            <w:r w:rsidRPr="00914E0E">
              <w:rPr>
                <w:sz w:val="28"/>
                <w:szCs w:val="28"/>
              </w:rPr>
              <w:t>п</w:t>
            </w:r>
            <w:proofErr w:type="gramEnd"/>
            <w:r w:rsidRPr="00914E0E">
              <w:rPr>
                <w:sz w:val="28"/>
                <w:szCs w:val="28"/>
              </w:rPr>
              <w:t>о составлению «паспорта маршрута избирателя, являющегося инвалидом, в помещение для голосования», а также выяснения их возможности голосовании в день голосования на избирательном участке или вне помещения для голосования.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 xml:space="preserve"> ТИК совместно с отделом по делам молодежи МО г. Армавир </w:t>
            </w:r>
          </w:p>
        </w:tc>
      </w:tr>
      <w:tr w:rsidR="00F17C6A" w:rsidRPr="001915B5" w:rsidTr="00F91725">
        <w:trPr>
          <w:cantSplit/>
          <w:trHeight w:val="768"/>
        </w:trPr>
        <w:tc>
          <w:tcPr>
            <w:tcW w:w="709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080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Утверждение плана закрепления за избирательными участками волонтеров.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 xml:space="preserve"> ТИК, администрация МО г. Армавир</w:t>
            </w:r>
          </w:p>
        </w:tc>
      </w:tr>
      <w:tr w:rsidR="00F17C6A" w:rsidRPr="001915B5" w:rsidTr="00914E0E">
        <w:tc>
          <w:tcPr>
            <w:tcW w:w="15168" w:type="dxa"/>
            <w:gridSpan w:val="5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914E0E">
              <w:rPr>
                <w:b/>
                <w:sz w:val="28"/>
                <w:szCs w:val="28"/>
              </w:rPr>
              <w:t>Работа по уточнению сведений об избирателях с ограниченными физическими возможностями</w:t>
            </w:r>
          </w:p>
        </w:tc>
      </w:tr>
      <w:tr w:rsidR="00F17C6A" w:rsidRPr="001915B5" w:rsidTr="00F91725">
        <w:tc>
          <w:tcPr>
            <w:tcW w:w="709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14E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Весь период</w:t>
            </w:r>
          </w:p>
        </w:tc>
        <w:tc>
          <w:tcPr>
            <w:tcW w:w="8080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 xml:space="preserve">Взаимодействие ТИК Армавирская с управлениями Пенсионного фонда России в г. Армавире, социальной защиты населения в </w:t>
            </w:r>
            <w:r>
              <w:rPr>
                <w:sz w:val="28"/>
                <w:szCs w:val="28"/>
              </w:rPr>
              <w:t xml:space="preserve">                </w:t>
            </w:r>
            <w:r w:rsidRPr="00914E0E">
              <w:rPr>
                <w:sz w:val="28"/>
                <w:szCs w:val="28"/>
              </w:rPr>
              <w:t>г. Армавире, с общественными организациями по работе с инвалидами, волонтерами, по уточнению сведений об избирателях с ограниченными физическими возможностями по категориям инвалидности по заболеваниям и группам инвалидности.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ТИК </w:t>
            </w:r>
            <w:r w:rsidRPr="00914E0E">
              <w:rPr>
                <w:sz w:val="28"/>
                <w:szCs w:val="28"/>
              </w:rPr>
              <w:t xml:space="preserve">совместно </w:t>
            </w:r>
            <w:r>
              <w:rPr>
                <w:sz w:val="28"/>
                <w:szCs w:val="28"/>
              </w:rPr>
              <w:t xml:space="preserve">с </w:t>
            </w:r>
            <w:r w:rsidRPr="00914E0E">
              <w:rPr>
                <w:sz w:val="28"/>
                <w:szCs w:val="28"/>
              </w:rPr>
              <w:t xml:space="preserve">обществами инвалидов и волонтеры </w:t>
            </w:r>
          </w:p>
        </w:tc>
      </w:tr>
      <w:tr w:rsidR="00F17C6A" w:rsidRPr="001915B5" w:rsidTr="00F91725">
        <w:tc>
          <w:tcPr>
            <w:tcW w:w="709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080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 xml:space="preserve"> Составление «паспорта маршрута избирателя, являющегося инвалидом, в помещение для голосования», а также выяснения их возможности голосовании в день голосования на избирательном участке или вне помещения для голосования.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ИК, обходчики «</w:t>
            </w:r>
            <w:proofErr w:type="spellStart"/>
            <w:r>
              <w:rPr>
                <w:sz w:val="28"/>
                <w:szCs w:val="28"/>
              </w:rPr>
              <w:t>ИнформУИК</w:t>
            </w:r>
            <w:proofErr w:type="spellEnd"/>
            <w:r>
              <w:rPr>
                <w:sz w:val="28"/>
                <w:szCs w:val="28"/>
              </w:rPr>
              <w:t>»,</w:t>
            </w:r>
            <w:r w:rsidRPr="00914E0E">
              <w:rPr>
                <w:sz w:val="28"/>
                <w:szCs w:val="28"/>
              </w:rPr>
              <w:t xml:space="preserve"> волонтеры</w:t>
            </w:r>
          </w:p>
        </w:tc>
      </w:tr>
      <w:tr w:rsidR="00F17C6A" w:rsidRPr="001915B5" w:rsidTr="00914E0E">
        <w:trPr>
          <w:trHeight w:val="1260"/>
        </w:trPr>
        <w:tc>
          <w:tcPr>
            <w:tcW w:w="15168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14E0E">
              <w:rPr>
                <w:b/>
                <w:sz w:val="28"/>
                <w:szCs w:val="28"/>
              </w:rPr>
              <w:t>3.  Информационно-разъяснительная работа среди избирателей</w:t>
            </w:r>
          </w:p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14E0E">
              <w:rPr>
                <w:b/>
                <w:sz w:val="28"/>
                <w:szCs w:val="28"/>
              </w:rPr>
              <w:t>граждан с ограниченными физическими возможностями</w:t>
            </w:r>
          </w:p>
        </w:tc>
      </w:tr>
      <w:tr w:rsidR="00F17C6A" w:rsidRPr="001915B5" w:rsidTr="00F91725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914E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Весь период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 xml:space="preserve">Информационный обмен </w:t>
            </w:r>
            <w:proofErr w:type="gramStart"/>
            <w:r w:rsidRPr="00914E0E">
              <w:rPr>
                <w:sz w:val="28"/>
                <w:szCs w:val="28"/>
              </w:rPr>
              <w:t>между</w:t>
            </w:r>
            <w:proofErr w:type="gramEnd"/>
            <w:r w:rsidRPr="00914E0E">
              <w:rPr>
                <w:sz w:val="28"/>
                <w:szCs w:val="28"/>
              </w:rPr>
              <w:t xml:space="preserve"> </w:t>
            </w:r>
            <w:proofErr w:type="gramStart"/>
            <w:r w:rsidRPr="00914E0E">
              <w:rPr>
                <w:sz w:val="28"/>
                <w:szCs w:val="28"/>
              </w:rPr>
              <w:t>ТИК</w:t>
            </w:r>
            <w:proofErr w:type="gramEnd"/>
            <w:r w:rsidRPr="00914E0E">
              <w:rPr>
                <w:sz w:val="28"/>
                <w:szCs w:val="28"/>
              </w:rPr>
              <w:t xml:space="preserve"> Армавирская и обществами инвалидов по основным направлениям деятельности по обеспечению избирательных прав граждан Российской Федерации, являющихся инвалидами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Члены ТИК</w:t>
            </w:r>
          </w:p>
        </w:tc>
      </w:tr>
      <w:tr w:rsidR="00F17C6A" w:rsidRPr="001915B5" w:rsidTr="00F91725">
        <w:tc>
          <w:tcPr>
            <w:tcW w:w="709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14E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Весь период</w:t>
            </w:r>
          </w:p>
        </w:tc>
        <w:tc>
          <w:tcPr>
            <w:tcW w:w="8080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Размещение в средствах массовой информации, на официальном сайте ТИК Армавирская информационных материалов по обеспечению избирательных прав граждан с ограниченными физическими возможностями, об избирательной кампании, о сроках и порядке совершения избирательных действий, о правилах голосования на соответствующих выборах, о нюансах избирательного законодательства.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  <w:r w:rsidRPr="00914E0E">
              <w:rPr>
                <w:sz w:val="28"/>
                <w:szCs w:val="28"/>
              </w:rPr>
              <w:t xml:space="preserve"> ТИК совместно с ОДМ администрации города</w:t>
            </w:r>
          </w:p>
        </w:tc>
      </w:tr>
      <w:tr w:rsidR="00F17C6A" w:rsidRPr="001915B5" w:rsidTr="00F91725">
        <w:tc>
          <w:tcPr>
            <w:tcW w:w="709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14E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17C6A" w:rsidRPr="00914E0E" w:rsidRDefault="00E76A0D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17C6A">
              <w:rPr>
                <w:sz w:val="28"/>
                <w:szCs w:val="28"/>
              </w:rPr>
              <w:t>евраль-март</w:t>
            </w:r>
          </w:p>
        </w:tc>
        <w:tc>
          <w:tcPr>
            <w:tcW w:w="8080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 xml:space="preserve">Обеспечение информационно-разъяснительными материалами избирателей, являющихся инвалидами, подготовленных с учетом беспрепятственного доступа к информации для разных категорий инвалидов </w:t>
            </w:r>
            <w:r>
              <w:rPr>
                <w:sz w:val="28"/>
                <w:szCs w:val="28"/>
              </w:rPr>
              <w:t>(при проведении избирательной кампании</w:t>
            </w:r>
            <w:r w:rsidRPr="00914E0E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ТИК совместно с общественными организациями инвалидов</w:t>
            </w:r>
            <w:r>
              <w:rPr>
                <w:sz w:val="28"/>
                <w:szCs w:val="28"/>
              </w:rPr>
              <w:t>, обходчики «</w:t>
            </w:r>
            <w:proofErr w:type="spellStart"/>
            <w:r>
              <w:rPr>
                <w:sz w:val="28"/>
                <w:szCs w:val="28"/>
              </w:rPr>
              <w:t>ИнформУИК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17C6A" w:rsidRPr="001915B5" w:rsidTr="00F91725">
        <w:tc>
          <w:tcPr>
            <w:tcW w:w="709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14E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</w:t>
            </w:r>
            <w:r w:rsidRPr="00914E0E">
              <w:rPr>
                <w:sz w:val="28"/>
                <w:szCs w:val="28"/>
              </w:rPr>
              <w:t xml:space="preserve"> (</w:t>
            </w:r>
            <w:r w:rsidRPr="00914E0E">
              <w:t>по отдельному плану)</w:t>
            </w:r>
          </w:p>
        </w:tc>
        <w:tc>
          <w:tcPr>
            <w:tcW w:w="8080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Организация обучения членов участковых избирательных комиссий, ответственных за работу в УИК с избирателями с ограниченными возможностями.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</w:t>
            </w:r>
            <w:r w:rsidRPr="00914E0E">
              <w:rPr>
                <w:sz w:val="28"/>
                <w:szCs w:val="28"/>
              </w:rPr>
              <w:t xml:space="preserve">ТИК   </w:t>
            </w:r>
          </w:p>
        </w:tc>
      </w:tr>
      <w:tr w:rsidR="00F17C6A" w:rsidRPr="001915B5" w:rsidTr="00F91725">
        <w:tc>
          <w:tcPr>
            <w:tcW w:w="709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14E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весь период</w:t>
            </w:r>
          </w:p>
        </w:tc>
        <w:tc>
          <w:tcPr>
            <w:tcW w:w="8080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информационных встреч </w:t>
            </w:r>
            <w:proofErr w:type="gramStart"/>
            <w:r>
              <w:rPr>
                <w:sz w:val="28"/>
                <w:szCs w:val="28"/>
              </w:rPr>
              <w:t>в городском</w:t>
            </w:r>
            <w:r w:rsidRPr="00914E0E">
              <w:rPr>
                <w:sz w:val="28"/>
                <w:szCs w:val="28"/>
              </w:rPr>
              <w:t xml:space="preserve"> обществе инвалидов с избирателями с ограниченными возможностями по вопросу включения избирателя в список</w:t>
            </w:r>
            <w:proofErr w:type="gramEnd"/>
            <w:r w:rsidRPr="00914E0E">
              <w:rPr>
                <w:sz w:val="28"/>
                <w:szCs w:val="28"/>
              </w:rPr>
              <w:t xml:space="preserve"> избирателей по месту нахождения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 xml:space="preserve">ТИК  </w:t>
            </w:r>
          </w:p>
        </w:tc>
      </w:tr>
      <w:tr w:rsidR="00F17C6A" w:rsidRPr="001915B5" w:rsidTr="00F91725">
        <w:trPr>
          <w:trHeight w:val="1173"/>
        </w:trPr>
        <w:tc>
          <w:tcPr>
            <w:tcW w:w="709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14E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 xml:space="preserve"> Весь период</w:t>
            </w:r>
          </w:p>
        </w:tc>
        <w:tc>
          <w:tcPr>
            <w:tcW w:w="8080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Использование возможности работы «горячей линии» телефонной связи ТИК с избирателями в целях оказания консультативной помощи избирателям, являющихся инвалидами.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17C6A" w:rsidRPr="00914E0E" w:rsidRDefault="00F17C6A" w:rsidP="00F17C6A">
            <w:pPr>
              <w:pStyle w:val="a4"/>
              <w:overflowPunct w:val="0"/>
              <w:autoSpaceDE w:val="0"/>
              <w:autoSpaceDN w:val="0"/>
              <w:adjustRightInd w:val="0"/>
              <w:spacing w:line="307" w:lineRule="exact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Н.М. Константинова,</w:t>
            </w:r>
          </w:p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 xml:space="preserve">С.Д. </w:t>
            </w:r>
            <w:proofErr w:type="spellStart"/>
            <w:r w:rsidRPr="00914E0E">
              <w:rPr>
                <w:sz w:val="28"/>
                <w:szCs w:val="28"/>
              </w:rPr>
              <w:t>Семенякин</w:t>
            </w:r>
            <w:proofErr w:type="spellEnd"/>
          </w:p>
        </w:tc>
      </w:tr>
      <w:tr w:rsidR="00F17C6A" w:rsidRPr="001915B5" w:rsidTr="00F17C6A">
        <w:trPr>
          <w:trHeight w:val="2242"/>
        </w:trPr>
        <w:tc>
          <w:tcPr>
            <w:tcW w:w="709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14E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День выборов</w:t>
            </w:r>
          </w:p>
        </w:tc>
        <w:tc>
          <w:tcPr>
            <w:tcW w:w="8080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914E0E">
              <w:rPr>
                <w:sz w:val="28"/>
                <w:szCs w:val="28"/>
              </w:rPr>
              <w:t xml:space="preserve">Оказание содействия инвалидам по зрению по их просьбе в ознакомлении с информацией о зарегистрированных кандидатах </w:t>
            </w:r>
            <w:r>
              <w:rPr>
                <w:sz w:val="28"/>
                <w:szCs w:val="28"/>
              </w:rPr>
              <w:t>в депутаты Президента Российской Федерации</w:t>
            </w:r>
            <w:r w:rsidRPr="00914E0E">
              <w:rPr>
                <w:sz w:val="28"/>
                <w:szCs w:val="28"/>
              </w:rPr>
              <w:t>, о порядке заполнения бюллетеня, а также сопровождение их до кабины для тайного голосования, стационарного ящика для голосования, организация помощи при входе и выходе из здания, в котором расположено помещение для голосования.</w:t>
            </w:r>
            <w:proofErr w:type="gramEnd"/>
          </w:p>
        </w:tc>
        <w:tc>
          <w:tcPr>
            <w:tcW w:w="5103" w:type="dxa"/>
            <w:gridSpan w:val="2"/>
            <w:shd w:val="clear" w:color="auto" w:fill="auto"/>
          </w:tcPr>
          <w:p w:rsidR="00F17C6A" w:rsidRPr="00914E0E" w:rsidRDefault="00F17C6A" w:rsidP="00F17C6A">
            <w:pPr>
              <w:pStyle w:val="a4"/>
              <w:overflowPunct w:val="0"/>
              <w:autoSpaceDE w:val="0"/>
              <w:autoSpaceDN w:val="0"/>
              <w:adjustRightInd w:val="0"/>
              <w:spacing w:line="307" w:lineRule="exact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УИК, волонтеры</w:t>
            </w:r>
          </w:p>
        </w:tc>
      </w:tr>
      <w:tr w:rsidR="00F17C6A" w:rsidRPr="001915B5" w:rsidTr="00F91725">
        <w:trPr>
          <w:trHeight w:val="3307"/>
        </w:trPr>
        <w:tc>
          <w:tcPr>
            <w:tcW w:w="709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276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Весь период</w:t>
            </w:r>
          </w:p>
        </w:tc>
        <w:tc>
          <w:tcPr>
            <w:tcW w:w="8080" w:type="dxa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Обобщение практики работы участковых избирательных комиссий при подготовке и проведении выборов:</w:t>
            </w:r>
          </w:p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- по оборудованию избирательных участков для голосования избирателей, являющихся инвалидами;</w:t>
            </w:r>
          </w:p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- по организации участия в голосовании избирателей, являющихся инвалидами, в помещениях для голосования и вне помещения;</w:t>
            </w:r>
          </w:p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>- по информированию избирателей, являющихся инвалидами по вопросу включения избирателя в список избирателей по месту нахождения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14E0E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 xml:space="preserve">ТИК совместно с </w:t>
            </w:r>
            <w:r w:rsidRPr="00914E0E">
              <w:rPr>
                <w:sz w:val="28"/>
                <w:szCs w:val="28"/>
              </w:rPr>
              <w:t xml:space="preserve">УИК </w:t>
            </w:r>
          </w:p>
        </w:tc>
      </w:tr>
      <w:tr w:rsidR="00F17C6A" w:rsidRPr="001915B5" w:rsidTr="00F17C6A">
        <w:trPr>
          <w:trHeight w:val="70"/>
        </w:trPr>
        <w:tc>
          <w:tcPr>
            <w:tcW w:w="709" w:type="dxa"/>
            <w:shd w:val="clear" w:color="auto" w:fill="auto"/>
          </w:tcPr>
          <w:p w:rsidR="00F17C6A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276" w:type="dxa"/>
            <w:shd w:val="clear" w:color="auto" w:fill="auto"/>
          </w:tcPr>
          <w:p w:rsidR="00F17C6A" w:rsidRPr="00914E0E" w:rsidRDefault="00E76A0D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8080" w:type="dxa"/>
            <w:shd w:val="clear" w:color="auto" w:fill="auto"/>
          </w:tcPr>
          <w:p w:rsidR="00F17C6A" w:rsidRPr="00E76A0D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76A0D">
              <w:rPr>
                <w:sz w:val="28"/>
                <w:szCs w:val="28"/>
              </w:rPr>
              <w:t>Подготовка информации о работе избирательных комиссий по обеспечению избирательных прав инвалидов при подготовке и проведении выборов Президента Российской Федерации, назначенных на 17 марта 2024 года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17C6A" w:rsidRPr="00914E0E" w:rsidRDefault="00F17C6A" w:rsidP="00F17C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Армавирская</w:t>
            </w:r>
          </w:p>
        </w:tc>
      </w:tr>
    </w:tbl>
    <w:p w:rsidR="00EF00D4" w:rsidRDefault="00EF00D4" w:rsidP="00EF00D4">
      <w:pPr>
        <w:jc w:val="both"/>
      </w:pPr>
    </w:p>
    <w:p w:rsidR="00EF00D4" w:rsidRDefault="00EF00D4" w:rsidP="00EF00D4"/>
    <w:p w:rsidR="00EF00D4" w:rsidRPr="009B25E8" w:rsidRDefault="00EF00D4" w:rsidP="00EF00D4"/>
    <w:p w:rsidR="00EF00D4" w:rsidRPr="00B724B1" w:rsidRDefault="00EF00D4" w:rsidP="00BB66F6">
      <w:pPr>
        <w:spacing w:line="204" w:lineRule="auto"/>
        <w:jc w:val="both"/>
        <w:rPr>
          <w:sz w:val="28"/>
          <w:szCs w:val="28"/>
        </w:rPr>
      </w:pPr>
    </w:p>
    <w:sectPr w:rsidR="00EF00D4" w:rsidRPr="00B724B1" w:rsidSect="00EC3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A1" w:rsidRDefault="00570AA1">
      <w:r>
        <w:separator/>
      </w:r>
    </w:p>
  </w:endnote>
  <w:endnote w:type="continuationSeparator" w:id="0">
    <w:p w:rsidR="00570AA1" w:rsidRDefault="0057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8C" w:rsidRDefault="001F2E8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8C" w:rsidRDefault="001F2E8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8C" w:rsidRDefault="001F2E8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A1" w:rsidRDefault="00570AA1">
      <w:r>
        <w:separator/>
      </w:r>
    </w:p>
  </w:footnote>
  <w:footnote w:type="continuationSeparator" w:id="0">
    <w:p w:rsidR="00570AA1" w:rsidRDefault="0057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6A" w:rsidRDefault="001C4A6A" w:rsidP="000A23F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4A6A" w:rsidRDefault="001C4A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8C" w:rsidRDefault="001F2E8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661AE">
      <w:rPr>
        <w:noProof/>
      </w:rPr>
      <w:t>2</w:t>
    </w:r>
    <w:r>
      <w:fldChar w:fldCharType="end"/>
    </w:r>
  </w:p>
  <w:p w:rsidR="001C4A6A" w:rsidRDefault="001C4A6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4E" w:rsidRDefault="0009134E">
    <w:pPr>
      <w:pStyle w:val="a8"/>
      <w:jc w:val="center"/>
    </w:pPr>
    <w:r>
      <w:t xml:space="preserve"> </w:t>
    </w:r>
  </w:p>
  <w:p w:rsidR="001F2E8C" w:rsidRDefault="001F2E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2326"/>
    <w:multiLevelType w:val="multilevel"/>
    <w:tmpl w:val="01A8E8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1">
    <w:nsid w:val="1FF002B7"/>
    <w:multiLevelType w:val="singleLevel"/>
    <w:tmpl w:val="A19A3B2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">
    <w:nsid w:val="25247E5F"/>
    <w:multiLevelType w:val="multilevel"/>
    <w:tmpl w:val="69DCA7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58E93815"/>
    <w:multiLevelType w:val="hybridMultilevel"/>
    <w:tmpl w:val="F22407E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0AD6A89"/>
    <w:multiLevelType w:val="multilevel"/>
    <w:tmpl w:val="69DCA7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7E4F6B19"/>
    <w:multiLevelType w:val="multilevel"/>
    <w:tmpl w:val="BE08AE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D94"/>
    <w:rsid w:val="000208F0"/>
    <w:rsid w:val="00036916"/>
    <w:rsid w:val="00047B26"/>
    <w:rsid w:val="000533A5"/>
    <w:rsid w:val="000563DB"/>
    <w:rsid w:val="00062F73"/>
    <w:rsid w:val="0008199E"/>
    <w:rsid w:val="00085177"/>
    <w:rsid w:val="0009134E"/>
    <w:rsid w:val="000A23F0"/>
    <w:rsid w:val="000A62D1"/>
    <w:rsid w:val="000B38BD"/>
    <w:rsid w:val="000B4808"/>
    <w:rsid w:val="000D3BF1"/>
    <w:rsid w:val="000E01A9"/>
    <w:rsid w:val="000E2736"/>
    <w:rsid w:val="000F4A0E"/>
    <w:rsid w:val="00114F56"/>
    <w:rsid w:val="001407CD"/>
    <w:rsid w:val="00141451"/>
    <w:rsid w:val="00162682"/>
    <w:rsid w:val="0017540F"/>
    <w:rsid w:val="00177DC0"/>
    <w:rsid w:val="00184B33"/>
    <w:rsid w:val="001915B5"/>
    <w:rsid w:val="00191978"/>
    <w:rsid w:val="001A09C6"/>
    <w:rsid w:val="001C4A6A"/>
    <w:rsid w:val="001E2375"/>
    <w:rsid w:val="001F2E8C"/>
    <w:rsid w:val="001F7263"/>
    <w:rsid w:val="00202DFB"/>
    <w:rsid w:val="002341F8"/>
    <w:rsid w:val="00244874"/>
    <w:rsid w:val="002603BF"/>
    <w:rsid w:val="00277699"/>
    <w:rsid w:val="002A09DE"/>
    <w:rsid w:val="002A0ABD"/>
    <w:rsid w:val="002A1B86"/>
    <w:rsid w:val="002C255E"/>
    <w:rsid w:val="002D1845"/>
    <w:rsid w:val="002E307D"/>
    <w:rsid w:val="002E4414"/>
    <w:rsid w:val="002E6BD5"/>
    <w:rsid w:val="002E783E"/>
    <w:rsid w:val="002E7B2F"/>
    <w:rsid w:val="00344DC6"/>
    <w:rsid w:val="00356EBE"/>
    <w:rsid w:val="00360670"/>
    <w:rsid w:val="0036233D"/>
    <w:rsid w:val="00365689"/>
    <w:rsid w:val="003771D7"/>
    <w:rsid w:val="003A68F0"/>
    <w:rsid w:val="003D263A"/>
    <w:rsid w:val="003F37F9"/>
    <w:rsid w:val="003F416E"/>
    <w:rsid w:val="0040616D"/>
    <w:rsid w:val="004250F2"/>
    <w:rsid w:val="00467163"/>
    <w:rsid w:val="004C727D"/>
    <w:rsid w:val="004D7B68"/>
    <w:rsid w:val="005106A0"/>
    <w:rsid w:val="005174B8"/>
    <w:rsid w:val="00530951"/>
    <w:rsid w:val="00531651"/>
    <w:rsid w:val="005424A4"/>
    <w:rsid w:val="005468B1"/>
    <w:rsid w:val="00570AA1"/>
    <w:rsid w:val="00577B0E"/>
    <w:rsid w:val="00581B7F"/>
    <w:rsid w:val="00596775"/>
    <w:rsid w:val="005A202E"/>
    <w:rsid w:val="005B5988"/>
    <w:rsid w:val="005C286B"/>
    <w:rsid w:val="005D05D7"/>
    <w:rsid w:val="005D28A2"/>
    <w:rsid w:val="00615862"/>
    <w:rsid w:val="00640DC8"/>
    <w:rsid w:val="00654555"/>
    <w:rsid w:val="00682D7B"/>
    <w:rsid w:val="006B01E4"/>
    <w:rsid w:val="006B5805"/>
    <w:rsid w:val="006B6E80"/>
    <w:rsid w:val="006C0E52"/>
    <w:rsid w:val="006C63EF"/>
    <w:rsid w:val="006D3458"/>
    <w:rsid w:val="0070258C"/>
    <w:rsid w:val="007138FA"/>
    <w:rsid w:val="00741A6F"/>
    <w:rsid w:val="00742C89"/>
    <w:rsid w:val="007438B1"/>
    <w:rsid w:val="0074690B"/>
    <w:rsid w:val="00752C0D"/>
    <w:rsid w:val="00755B5C"/>
    <w:rsid w:val="0076229D"/>
    <w:rsid w:val="00791DD0"/>
    <w:rsid w:val="007A2C33"/>
    <w:rsid w:val="007B49D5"/>
    <w:rsid w:val="007C0160"/>
    <w:rsid w:val="007D13B8"/>
    <w:rsid w:val="007E1A57"/>
    <w:rsid w:val="007E2423"/>
    <w:rsid w:val="00813665"/>
    <w:rsid w:val="0083153C"/>
    <w:rsid w:val="00836E87"/>
    <w:rsid w:val="00847332"/>
    <w:rsid w:val="00872EC8"/>
    <w:rsid w:val="008A6E7A"/>
    <w:rsid w:val="008B24D8"/>
    <w:rsid w:val="008D267E"/>
    <w:rsid w:val="008D315B"/>
    <w:rsid w:val="008D37F4"/>
    <w:rsid w:val="008F1318"/>
    <w:rsid w:val="008F5814"/>
    <w:rsid w:val="0090162E"/>
    <w:rsid w:val="00914E0E"/>
    <w:rsid w:val="00932474"/>
    <w:rsid w:val="0094646B"/>
    <w:rsid w:val="009B2D94"/>
    <w:rsid w:val="009C5293"/>
    <w:rsid w:val="009C566C"/>
    <w:rsid w:val="009C7BAF"/>
    <w:rsid w:val="009D4E53"/>
    <w:rsid w:val="009E32B7"/>
    <w:rsid w:val="009F3D0B"/>
    <w:rsid w:val="00A27853"/>
    <w:rsid w:val="00A42486"/>
    <w:rsid w:val="00A43C15"/>
    <w:rsid w:val="00A564A9"/>
    <w:rsid w:val="00A93935"/>
    <w:rsid w:val="00A942B9"/>
    <w:rsid w:val="00AA42C4"/>
    <w:rsid w:val="00AB1072"/>
    <w:rsid w:val="00AD65AF"/>
    <w:rsid w:val="00AE6084"/>
    <w:rsid w:val="00AF41B7"/>
    <w:rsid w:val="00AF5243"/>
    <w:rsid w:val="00B03ACC"/>
    <w:rsid w:val="00B03F44"/>
    <w:rsid w:val="00B10C43"/>
    <w:rsid w:val="00B22D9B"/>
    <w:rsid w:val="00B343A7"/>
    <w:rsid w:val="00B616F7"/>
    <w:rsid w:val="00B724B1"/>
    <w:rsid w:val="00B8549A"/>
    <w:rsid w:val="00B871F5"/>
    <w:rsid w:val="00BB66F6"/>
    <w:rsid w:val="00BB7090"/>
    <w:rsid w:val="00BC57DC"/>
    <w:rsid w:val="00C067BB"/>
    <w:rsid w:val="00C12BE9"/>
    <w:rsid w:val="00C44A14"/>
    <w:rsid w:val="00C56999"/>
    <w:rsid w:val="00C71257"/>
    <w:rsid w:val="00C958C6"/>
    <w:rsid w:val="00CC3F35"/>
    <w:rsid w:val="00CD31B9"/>
    <w:rsid w:val="00CD7EAB"/>
    <w:rsid w:val="00CE582B"/>
    <w:rsid w:val="00CE62AD"/>
    <w:rsid w:val="00D23C34"/>
    <w:rsid w:val="00D521B2"/>
    <w:rsid w:val="00D53515"/>
    <w:rsid w:val="00D661AE"/>
    <w:rsid w:val="00D74687"/>
    <w:rsid w:val="00D75D15"/>
    <w:rsid w:val="00D850C1"/>
    <w:rsid w:val="00D92591"/>
    <w:rsid w:val="00DE2DAE"/>
    <w:rsid w:val="00DF18AF"/>
    <w:rsid w:val="00DF4C30"/>
    <w:rsid w:val="00E02665"/>
    <w:rsid w:val="00E05398"/>
    <w:rsid w:val="00E15652"/>
    <w:rsid w:val="00E265D3"/>
    <w:rsid w:val="00E70B7B"/>
    <w:rsid w:val="00E76A0D"/>
    <w:rsid w:val="00E91BB7"/>
    <w:rsid w:val="00EA15A1"/>
    <w:rsid w:val="00EC302D"/>
    <w:rsid w:val="00EE4871"/>
    <w:rsid w:val="00EF00D4"/>
    <w:rsid w:val="00EF299C"/>
    <w:rsid w:val="00F14BBB"/>
    <w:rsid w:val="00F17C6A"/>
    <w:rsid w:val="00F31961"/>
    <w:rsid w:val="00F31D4B"/>
    <w:rsid w:val="00F636C2"/>
    <w:rsid w:val="00F716CA"/>
    <w:rsid w:val="00F91725"/>
    <w:rsid w:val="00F94FC9"/>
    <w:rsid w:val="00F96898"/>
    <w:rsid w:val="00F97A5D"/>
    <w:rsid w:val="00FA3455"/>
    <w:rsid w:val="00FB1806"/>
    <w:rsid w:val="00F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581B7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4"/>
    </w:rPr>
  </w:style>
  <w:style w:type="paragraph" w:styleId="20">
    <w:name w:val="Body Text Indent 2"/>
    <w:basedOn w:val="a"/>
    <w:pPr>
      <w:ind w:firstLine="709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Title"/>
    <w:basedOn w:val="a"/>
    <w:qFormat/>
    <w:rsid w:val="000563DB"/>
    <w:pPr>
      <w:jc w:val="center"/>
    </w:pPr>
    <w:rPr>
      <w:b/>
      <w:sz w:val="28"/>
    </w:rPr>
  </w:style>
  <w:style w:type="paragraph" w:styleId="a7">
    <w:name w:val="Balloon Text"/>
    <w:basedOn w:val="a"/>
    <w:semiHidden/>
    <w:rsid w:val="00872EC8"/>
    <w:rPr>
      <w:rFonts w:ascii="Tahoma" w:hAnsi="Tahoma" w:cs="Tahoma"/>
      <w:sz w:val="16"/>
      <w:szCs w:val="16"/>
    </w:rPr>
  </w:style>
  <w:style w:type="paragraph" w:styleId="a8">
    <w:name w:val="header"/>
    <w:aliases w:val="Знак3, Знак3"/>
    <w:basedOn w:val="a"/>
    <w:link w:val="a9"/>
    <w:uiPriority w:val="99"/>
    <w:rsid w:val="000A23F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A23F0"/>
  </w:style>
  <w:style w:type="paragraph" w:customStyle="1" w:styleId="10">
    <w:name w:val="Знак1"/>
    <w:basedOn w:val="a"/>
    <w:link w:val="a0"/>
    <w:rsid w:val="002A09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741A6F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11">
    <w:name w:val=" Знак1"/>
    <w:basedOn w:val="a"/>
    <w:rsid w:val="0016268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9">
    <w:name w:val="Верхний колонтитул Знак"/>
    <w:aliases w:val="Знак3 Знак, Знак3 Знак"/>
    <w:link w:val="a8"/>
    <w:uiPriority w:val="99"/>
    <w:locked/>
    <w:rsid w:val="00EF00D4"/>
    <w:rPr>
      <w:lang w:val="ru-RU" w:eastAsia="ru-RU" w:bidi="ar-SA"/>
    </w:rPr>
  </w:style>
  <w:style w:type="paragraph" w:styleId="30">
    <w:name w:val="Body Text Indent 3"/>
    <w:basedOn w:val="a"/>
    <w:rsid w:val="00EF00D4"/>
    <w:pPr>
      <w:spacing w:after="120"/>
      <w:ind w:left="283"/>
    </w:pPr>
    <w:rPr>
      <w:rFonts w:eastAsia="Calibri"/>
      <w:bCs/>
      <w:sz w:val="16"/>
      <w:szCs w:val="16"/>
    </w:rPr>
  </w:style>
  <w:style w:type="table" w:styleId="ab">
    <w:name w:val="Table Grid"/>
    <w:basedOn w:val="a1"/>
    <w:rsid w:val="00EF00D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FA3455"/>
    <w:rPr>
      <w:lang w:val="ru-RU" w:eastAsia="ru-RU" w:bidi="ar-SA"/>
    </w:rPr>
  </w:style>
  <w:style w:type="character" w:customStyle="1" w:styleId="10pt">
    <w:name w:val="Основной текст + 10 pt"/>
    <w:aliases w:val="Полужирный,Малые прописные"/>
    <w:rsid w:val="00FA3455"/>
    <w:rPr>
      <w:rFonts w:ascii="Times New Roman" w:hAnsi="Times New Roman" w:cs="Times New Roman"/>
      <w:b/>
      <w:bCs/>
      <w:smallCaps/>
      <w:spacing w:val="0"/>
      <w:sz w:val="20"/>
      <w:szCs w:val="20"/>
      <w:lang w:val="en-US" w:eastAsia="en-US" w:bidi="ar-SA"/>
    </w:rPr>
  </w:style>
  <w:style w:type="paragraph" w:styleId="ac">
    <w:name w:val="footer"/>
    <w:basedOn w:val="a"/>
    <w:link w:val="ad"/>
    <w:rsid w:val="001F2E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F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818</Words>
  <Characters>6030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 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p</dc:creator>
  <cp:keywords/>
  <dc:description/>
  <cp:lastModifiedBy>Игорь</cp:lastModifiedBy>
  <cp:revision>2</cp:revision>
  <cp:lastPrinted>2024-02-21T07:45:00Z</cp:lastPrinted>
  <dcterms:created xsi:type="dcterms:W3CDTF">2024-03-05T08:39:00Z</dcterms:created>
  <dcterms:modified xsi:type="dcterms:W3CDTF">2024-03-05T08:39:00Z</dcterms:modified>
</cp:coreProperties>
</file>